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от 25 декабря 2023 года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793-пп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tabs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транспортной доступности на территории Белгородской области и повышения уровня безопасности транспортной инфраструктуры Правительство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34"/>
          <w:sz w:val="28"/>
          <w:szCs w:val="28"/>
        </w:rPr>
        <w:t xml:space="preserve">постановляет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</w:t>
      </w:r>
      <w:hyperlink r:id="rId9" w:tooltip="https://login.consultant.ru/link/?req=doc&amp;base=RLAW404&amp;n=96874" w:history="1">
        <w:r>
          <w:rPr>
            <w:rFonts w:ascii="Times New Roman" w:hAnsi="Times New Roman" w:cs="Times New Roman"/>
            <w:sz w:val="28"/>
            <w:szCs w:val="28"/>
          </w:rPr>
          <w:t xml:space="preserve"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Белгородской области от 25 декабря 2023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793-пп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пообъектного</w:t>
      </w:r>
      <w:r>
        <w:rPr>
          <w:rFonts w:ascii="Times New Roman" w:hAnsi="Times New Roman" w:cs="Times New Roman"/>
          <w:sz w:val="28"/>
          <w:szCs w:val="28"/>
        </w:rPr>
        <w:t xml:space="preserve"> перечня строительства (реконструкции)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  <w:r>
        <w:rPr>
          <w:rFonts w:ascii="Times New Roman" w:hAnsi="Times New Roman" w:cs="Times New Roman"/>
          <w:sz w:val="28"/>
          <w:szCs w:val="28"/>
        </w:rPr>
        <w:br/>
        <w:t xml:space="preserve">и строительства сетей наружного освещения вдоль автомобильных дорог </w:t>
      </w:r>
      <w:r>
        <w:rPr>
          <w:rFonts w:ascii="Times New Roman" w:hAnsi="Times New Roman" w:cs="Times New Roman"/>
          <w:sz w:val="28"/>
          <w:szCs w:val="28"/>
        </w:rPr>
        <w:br/>
        <w:t xml:space="preserve">в Белгородской области на 2024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2026 годы»: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пообъектный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https://login.consultant.ru/link/?req=doc&amp;base=RLAW404&amp;n=85233&amp;dst=100029" w:history="1">
        <w:r>
          <w:rPr>
            <w:rFonts w:ascii="Times New Roman" w:hAnsi="Times New Roman" w:cs="Times New Roman"/>
            <w:sz w:val="28"/>
            <w:szCs w:val="28"/>
          </w:rPr>
          <w:t xml:space="preserve">перечень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(реконструкции) автомобильных дорог и строительства сетей наружного освещения вдоль автомобильных дорог в Белгородской области на 2024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2026 годы, утвержденный в пункте 1 постановления, изложить в редакции согласно </w:t>
      </w:r>
      <w:hyperlink r:id="rId11" w:tooltip="https://login.consultant.ru/link/?req=doc&amp;base=RLAW404&amp;n=87755&amp;dst=100011" w:history="1">
        <w:r>
          <w:rPr>
            <w:rFonts w:ascii="Times New Roman" w:hAnsi="Times New Roman" w:cs="Times New Roman"/>
            <w:sz w:val="28"/>
            <w:szCs w:val="28"/>
          </w:rPr>
          <w:t xml:space="preserve"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br/>
        <w:t xml:space="preserve">на заместителя Губернатора Белгородской области Базарова В.В.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Губернатор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Белгородской области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В.В. Гладков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69FAFFE0">
      <w:start w:val="1"/>
      <w:numFmt w:val="decimal"/>
      <w:lvlText w:val="%1."/>
      <w:lvlJc w:val="left"/>
    </w:lvl>
    <w:lvl w:ilvl="1" w:tplc="C89800B4">
      <w:start w:val="1"/>
      <w:numFmt w:val="lowerLetter"/>
      <w:lvlText w:val="%2."/>
      <w:lvlJc w:val="left"/>
      <w:pPr>
        <w:ind w:left="1440" w:hanging="360"/>
      </w:pPr>
    </w:lvl>
    <w:lvl w:ilvl="2" w:tplc="387A1ECE">
      <w:start w:val="1"/>
      <w:numFmt w:val="lowerRoman"/>
      <w:lvlText w:val="%3."/>
      <w:lvlJc w:val="right"/>
      <w:pPr>
        <w:ind w:left="2160" w:hanging="180"/>
      </w:pPr>
    </w:lvl>
    <w:lvl w:ilvl="3" w:tplc="0B6EC082">
      <w:start w:val="1"/>
      <w:numFmt w:val="decimal"/>
      <w:lvlText w:val="%4."/>
      <w:lvlJc w:val="left"/>
      <w:pPr>
        <w:ind w:left="2880" w:hanging="360"/>
      </w:pPr>
    </w:lvl>
    <w:lvl w:ilvl="4" w:tplc="E952A13A">
      <w:start w:val="1"/>
      <w:numFmt w:val="lowerLetter"/>
      <w:lvlText w:val="%5."/>
      <w:lvlJc w:val="left"/>
      <w:pPr>
        <w:ind w:left="3600" w:hanging="360"/>
      </w:pPr>
    </w:lvl>
    <w:lvl w:ilvl="5" w:tplc="A7948C02">
      <w:start w:val="1"/>
      <w:numFmt w:val="lowerRoman"/>
      <w:lvlText w:val="%6."/>
      <w:lvlJc w:val="right"/>
      <w:pPr>
        <w:ind w:left="4320" w:hanging="180"/>
      </w:pPr>
    </w:lvl>
    <w:lvl w:ilvl="6" w:tplc="B7D29BEA">
      <w:start w:val="1"/>
      <w:numFmt w:val="decimal"/>
      <w:lvlText w:val="%7."/>
      <w:lvlJc w:val="left"/>
      <w:pPr>
        <w:ind w:left="5040" w:hanging="360"/>
      </w:pPr>
    </w:lvl>
    <w:lvl w:ilvl="7" w:tplc="F3FE146E">
      <w:start w:val="1"/>
      <w:numFmt w:val="lowerLetter"/>
      <w:lvlText w:val="%8."/>
      <w:lvlJc w:val="left"/>
      <w:pPr>
        <w:ind w:left="5760" w:hanging="360"/>
      </w:pPr>
    </w:lvl>
    <w:lvl w:ilvl="8" w:tplc="45C4EC6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 w:tplc="0186E174">
      <w:start w:val="1"/>
      <w:numFmt w:val="decimal"/>
      <w:lvlText w:val="%1."/>
      <w:lvlJc w:val="left"/>
    </w:lvl>
    <w:lvl w:ilvl="1" w:tplc="B940840C">
      <w:start w:val="1"/>
      <w:numFmt w:val="lowerLetter"/>
      <w:lvlText w:val="%2."/>
      <w:lvlJc w:val="left"/>
      <w:pPr>
        <w:ind w:left="1440" w:hanging="360"/>
      </w:pPr>
    </w:lvl>
    <w:lvl w:ilvl="2" w:tplc="4510DAAA">
      <w:start w:val="1"/>
      <w:numFmt w:val="lowerRoman"/>
      <w:lvlText w:val="%3."/>
      <w:lvlJc w:val="right"/>
      <w:pPr>
        <w:ind w:left="2160" w:hanging="180"/>
      </w:pPr>
    </w:lvl>
    <w:lvl w:ilvl="3" w:tplc="2C422A12">
      <w:start w:val="1"/>
      <w:numFmt w:val="decimal"/>
      <w:lvlText w:val="%4."/>
      <w:lvlJc w:val="left"/>
      <w:pPr>
        <w:ind w:left="2880" w:hanging="360"/>
      </w:pPr>
    </w:lvl>
    <w:lvl w:ilvl="4" w:tplc="6E82E1F0">
      <w:start w:val="1"/>
      <w:numFmt w:val="lowerLetter"/>
      <w:lvlText w:val="%5."/>
      <w:lvlJc w:val="left"/>
      <w:pPr>
        <w:ind w:left="3600" w:hanging="360"/>
      </w:pPr>
    </w:lvl>
    <w:lvl w:ilvl="5" w:tplc="6C8EE13C">
      <w:start w:val="1"/>
      <w:numFmt w:val="lowerRoman"/>
      <w:lvlText w:val="%6."/>
      <w:lvlJc w:val="right"/>
      <w:pPr>
        <w:ind w:left="4320" w:hanging="180"/>
      </w:pPr>
    </w:lvl>
    <w:lvl w:ilvl="6" w:tplc="58A2D7FC">
      <w:start w:val="1"/>
      <w:numFmt w:val="decimal"/>
      <w:lvlText w:val="%7."/>
      <w:lvlJc w:val="left"/>
      <w:pPr>
        <w:ind w:left="5040" w:hanging="360"/>
      </w:pPr>
    </w:lvl>
    <w:lvl w:ilvl="7" w:tplc="74241EEC">
      <w:start w:val="1"/>
      <w:numFmt w:val="lowerLetter"/>
      <w:lvlText w:val="%8."/>
      <w:lvlJc w:val="left"/>
      <w:pPr>
        <w:ind w:left="5760" w:hanging="360"/>
      </w:pPr>
    </w:lvl>
    <w:lvl w:ilvl="8" w:tplc="B2E6B8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TitleChar" w:customStyle="1">
    <w:name w:val="Title Char"/>
    <w:basedOn w:val="a0"/>
    <w:link w:val="a3"/>
    <w:uiPriority w:val="10"/>
    <w:rPr>
      <w:sz w:val="48"/>
      <w:szCs w:val="48"/>
    </w:rPr>
  </w:style>
  <w:style w:type="character" w:styleId="SubtitleChar" w:customStyle="1">
    <w:name w:val="Subtitle Char"/>
    <w:basedOn w:val="a0"/>
    <w:link w:val="a4"/>
    <w:uiPriority w:val="11"/>
    <w:rPr>
      <w:sz w:val="24"/>
      <w:szCs w:val="24"/>
    </w:rPr>
  </w:style>
  <w:style w:type="character" w:styleId="QuoteChar" w:customStyle="1">
    <w:name w:val="Quote Char"/>
    <w:link w:val="2"/>
    <w:uiPriority w:val="29"/>
    <w:rPr>
      <w:i/>
    </w:rPr>
  </w:style>
  <w:style w:type="character" w:styleId="IntenseQuoteChar" w:customStyle="1">
    <w:name w:val="Intense Quote Char"/>
    <w:link w:val="a5"/>
    <w:uiPriority w:val="30"/>
    <w:rPr>
      <w:i/>
    </w:rPr>
  </w:style>
  <w:style w:type="character" w:styleId="FootnoteTextChar" w:customStyle="1">
    <w:name w:val="Footnote Text Char"/>
    <w:link w:val="a6"/>
    <w:uiPriority w:val="99"/>
    <w:rPr>
      <w:sz w:val="18"/>
    </w:rPr>
  </w:style>
  <w:style w:type="character" w:styleId="EndnoteTextChar" w:customStyle="1">
    <w:name w:val="Endnote Text Char"/>
    <w:link w:val="a7"/>
    <w:uiPriority w:val="99"/>
    <w:rPr>
      <w:sz w:val="20"/>
    </w:rPr>
  </w:style>
  <w:style w:type="paragraph" w:styleId="Heading1" w:customStyle="1">
    <w:name w:val="Heading 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Heading1Char" w:customStyle="1">
    <w:name w:val="Heading 1 Char"/>
    <w:link w:val="Heading1"/>
    <w:uiPriority w:val="9"/>
    <w:rPr>
      <w:rFonts w:ascii="Arial" w:hAnsi="Arial" w:eastAsia="Arial" w:cs="Arial"/>
      <w:sz w:val="40"/>
      <w:szCs w:val="40"/>
    </w:rPr>
  </w:style>
  <w:style w:type="paragraph" w:styleId="Heading2" w:customStyle="1">
    <w:name w:val="Heading 2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character" w:styleId="Heading2Char" w:customStyle="1">
    <w:name w:val="Heading 2 Char"/>
    <w:link w:val="Heading2"/>
    <w:uiPriority w:val="9"/>
    <w:rPr>
      <w:rFonts w:ascii="Arial" w:hAnsi="Arial" w:eastAsia="Arial" w:cs="Arial"/>
      <w:sz w:val="34"/>
    </w:rPr>
  </w:style>
  <w:style w:type="paragraph" w:styleId="Heading3" w:customStyle="1">
    <w:name w:val="Heading 3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Heading3Char" w:customStyle="1">
    <w:name w:val="Heading 3 Char"/>
    <w:link w:val="Heading3"/>
    <w:uiPriority w:val="9"/>
    <w:rPr>
      <w:rFonts w:ascii="Arial" w:hAnsi="Arial" w:eastAsia="Arial" w:cs="Arial"/>
      <w:sz w:val="30"/>
      <w:szCs w:val="30"/>
    </w:rPr>
  </w:style>
  <w:style w:type="paragraph" w:styleId="Heading4" w:customStyle="1">
    <w:name w:val="Heading 4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Heading4Char" w:customStyle="1">
    <w:name w:val="Heading 4 Char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Heading5Char" w:customStyle="1">
    <w:name w:val="Heading 5 Char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character" w:styleId="Heading6Char" w:customStyle="1">
    <w:name w:val="Heading 6 Char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paragraph" w:styleId="Heading7" w:customStyle="1">
    <w:name w:val="Heading 7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Heading7Char" w:customStyle="1">
    <w:name w:val="Heading 7 Char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 w:customStyle="1">
    <w:name w:val="Heading 8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character" w:styleId="Heading8Char" w:customStyle="1">
    <w:name w:val="Heading 8 Char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paragraph" w:styleId="Heading9" w:customStyle="1">
    <w:name w:val="Heading 9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9Char" w:customStyle="1">
    <w:name w:val="Heading 9 Char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styleId="a8" w:customStyle="1">
    <w:name w:val="Название Знак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styleId="a9" w:customStyle="1">
    <w:name w:val="Подзаголовок Знак"/>
    <w:link w:val="a4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styleId="20" w:customStyle="1">
    <w:name w:val="Цитата 2 Знак"/>
    <w:link w:val="2"/>
    <w:uiPriority w:val="29"/>
    <w:rPr>
      <w:i/>
    </w:rPr>
  </w:style>
  <w:style w:type="paragraph" w:styleId="a5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5"/>
    <w:uiPriority w:val="30"/>
    <w:rPr>
      <w:i/>
    </w:rPr>
  </w:style>
  <w:style w:type="paragraph" w:styleId="Header" w:customStyle="1">
    <w:name w:val="Header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HeaderChar" w:customStyle="1">
    <w:name w:val="Header Char"/>
    <w:link w:val="Header"/>
    <w:uiPriority w:val="99"/>
  </w:style>
  <w:style w:type="paragraph" w:styleId="Footer" w:customStyle="1">
    <w:name w:val="Footer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FooterChar" w:customStyle="1">
    <w:name w:val="Footer Char"/>
    <w:link w:val="Footer"/>
    <w:uiPriority w:val="99"/>
  </w:style>
  <w:style w:type="paragraph" w:styleId="Caption" w:customStyle="1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CaptionChar" w:customStyle="1">
    <w:name w:val="Caption Char"/>
    <w:link w:val="Foote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tcPr>
        <w:shd w:val="clear" w:color="ffffff" w:themeColor="text1" w:themeTint="00" w:fill="ffffff" w:themeFill="text1" w:themeFillTint="00"/>
      </w:tcPr>
    </w:tblStylePr>
  </w:style>
  <w:style w:type="table" w:styleId="PlainTable2" w:customStyle="1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PlainTable4" w:customStyle="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PlainTable5" w:customStyle="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GridTable1Light" w:customStyle="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GridTable2" w:customStyle="1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GridTable3" w:customStyle="1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GridTable4" w:customStyle="1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GridTable5Dark" w:customStyle="1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GridTable6Colorful" w:customStyle="1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 w:customStyle="1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 w:customStyle="1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ListTable2" w:customStyle="1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ListTable3" w:customStyle="1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ListTable4" w:customStyle="1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ListTable5Dark" w:customStyle="1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ListTable6Colorful" w:customStyle="1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 w:customStyle="1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styleId="ad" w:customStyle="1">
    <w:name w:val="Текст сноски Знак"/>
    <w:link w:val="a6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styleId="af" w:customStyle="1">
    <w:name w:val="Текст концевой сноски Знак"/>
    <w:link w:val="a7"/>
    <w:uiPriority w:val="99"/>
    <w:rPr>
      <w:sz w:val="20"/>
    </w:rPr>
  </w:style>
  <w:style w:type="character" w:styleId="af0">
    <w:name w:val="endnote reference"/>
    <w:uiPriority w:val="99"/>
    <w:semiHidden/>
    <w:unhideWhenUsed/>
    <w:rPr>
      <w:vertAlign w:val="superscript"/>
    </w:rPr>
  </w:style>
  <w:style w:type="paragraph" w:styleId="1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 Spacing"/>
    <w:basedOn w:val="a"/>
    <w:uiPriority w:val="1"/>
    <w:qFormat/>
    <w:pPr>
      <w:spacing w:after="0" w:line="240" w:lineRule="auto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6" w:customStyle="1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ConsPlusTitle" w:customStyle="1">
    <w:name w:val="ConsPlusTitle"/>
    <w:pPr>
      <w:widowControl w:val="off"/>
      <w:spacing w:after="0" w:line="240" w:lineRule="auto"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login.consultant.ru/link/?req=doc&amp;base=RLAW404&amp;n=96874" TargetMode="External"/><Relationship Id="rId10" Type="http://schemas.openxmlformats.org/officeDocument/2006/relationships/hyperlink" Target="https://login.consultant.ru/link/?req=doc&amp;base=RLAW404&amp;n=85233&amp;dst=100029" TargetMode="External"/><Relationship Id="rId11" Type="http://schemas.openxmlformats.org/officeDocument/2006/relationships/hyperlink" Target="https://login.consultant.ru/link/?req=doc&amp;base=RLAW404&amp;n=87755&amp;dst=10001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haracters>1480</Characters>
  <CharactersWithSpaces>1736</CharactersWithSpaces>
  <Company/>
  <DocSecurity>0</DocSecurity>
  <HyperlinksChanged>false</HyperlinksChanged>
  <Lines>12</Lines>
  <LinksUpToDate>false</LinksUpToDate>
  <Pages>1</Pages>
  <Paragraphs>3</Paragraphs>
  <ScaleCrop>false</ScaleCrop>
  <SharedDoc>false</SharedDoc>
  <Template>Normal</Template>
  <TotalTime>21</TotalTime>
  <Words>259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</dc:creator>
  <cp:lastModifiedBy>Рязанцева</cp:lastModifiedBy>
  <cp:revision>6</cp:revision>
  <cp:lastPrinted>2024-07-16T09:00:00Z</cp:lastPrinted>
  <dcterms:created xsi:type="dcterms:W3CDTF">2024-06-21T10:56:00Z</dcterms:created>
  <dcterms:modified xsi:type="dcterms:W3CDTF">2024-07-16T09:07:00Z</dcterms:modified>
</cp:coreProperties>
</file>